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14</w:t>
      </w:r>
    </w:p>
    <w:p>
      <w:r>
        <w:t>Bundesgericht (BGE), 1994-03-02, DE</w:t>
      </w:r>
    </w:p>
    <w:p>
      <w:r>
        <w:rPr>
          <w:b/>
        </w:rPr>
        <w:t xml:space="preserve">Quelle: </w:t>
      </w:r>
      <w:r>
        <w:t>https://mcp.opencaselaw.ch/entscheid/bge_120 IV 14</w:t>
      </w:r>
    </w:p>
    <w:p>
      <w:r>
        <w:t>FR: ATF 120 IV 14</w:t>
      </w:r>
    </w:p>
    <w:p>
      <w:r>
        <w:t>IT: DTF 120 IV 14</w:t>
      </w:r>
    </w:p>
    <w:p>
      <w:pPr>
        <w:pStyle w:val="Heading2"/>
      </w:pPr>
      <w:r>
        <w:t>Regeste</w:t>
      </w:r>
    </w:p>
    <w:p>
      <w:r>
        <w:t>Regeste Art. 148 Abs. 1 und Art. 251 Ziff. 1 StGB; Betrug, Falschbeurkundung; Erstellen inhaltlich unwahrer Rechnungen. Das Erstellen einer inhaltlich unwahren Rechnung kann unter Betrugsgesichtspunkten von Bedeutung sein. Soweit die Errichtung inhaltlich unwahrer Schriftstücke vom Tatbestand der Falschbeurkundung nicht erfasst ist, darf daraus nicht auf allgemeine Straflosigkeit geschlossen werden.</w:t>
      </w:r>
    </w:p>
    <w:p>
      <w:pPr>
        <w:pStyle w:val="Heading2"/>
      </w:pPr>
      <w:r>
        <w:t>Erwägungen</w:t>
      </w:r>
    </w:p>
    <w:p>
      <w:r>
        <w:rPr>
          <w:b/>
        </w:rPr>
        <w:t>E. 2</w:t>
      </w:r>
    </w:p>
    <w:p>
      <w:r>
        <w:t>Der Beschwerdeführer macht geltend, im Fall 3 habe die Vorinstanz Bundesrecht verletzt, weil der Versicherung kein Schaden entstanden sei. a) Gemäss Art. 148 Abs. 1 StGB setzt eine Bestrafung wegen Betrugs einen Vermögensschaden voraus. Das Strafgericht führt aus, die betroffene "Z. Versicherungsgesellschaft" sei aufgrund ihrer allgemeinen Versicherungsbedingungen nur dann entschädigungspflichtig, wenn der Schaden behoben werde. Die "Z. Versicherungsgesellschaft" hätte in Kenntnis der Tatsache, dass die Frontscheibe nicht ersetzt und der ausbezahlte Betrag anderweitig verwendet werde, ihre Leistung nicht erbracht. Aufgrund der Täuschung habe sie eine Nichtschuld bezahlt und sich dadurch am Vermögen geschädigt. b) Diese Auffassung ist bundesrechtlich nicht zu beanstanden. Soweit der Beschwerdeführer von einem anderen Sachverhalt ausgeht, als ihn das Strafgericht festgestellt hat, ist auf die Beschwerde nicht einzutreten ( Art. 273 Abs. 1 lit. b BStP [SR 312.0]). Nicht zu hören ist er deshalb mit seinem Einwand, gemäss allgemeinem Schadenersatzrecht sei Schadenersatz auch zu leisten, wenn auf die Reparatur verzichtet werde, weil das Vermögen auch so, allein durch das schädigende Ereignis, vermindert werde. Massgebend ist im Verhältnis mit der Versicherung nicht das allgemeine Schadenersatzrecht, wenn in den allgemeinen Versicherungsbedingungen, wie hier, etwas Abweichendes vereinbart ist. Ebenso ist nicht einzutreten auf das Vorbringen, die "Z. Versicherungsgesellschaft" richte sich in der Praxis bei der Erledigung solcher Schadensfälle nach dem allgemeinen Haftpflichtrecht, da dies im Widerspruch zu den tatsächlichen Feststellungen des Strafgerichts steht. Aus BGE 117 IV 35 kann der Beschwerdeführer nichts zu seinen Gunsten herleiten. In diesem Entscheid befasste sich das Bundesgericht ausschliesslich mit der Frage, ob im Erstellen einer inhaltlich unwahren Rechnung eine Falschbeurkundung nach Art. 251 StGB liege. Zum Tatbestand des Betrugs äusserte sich das Bundesgericht nicht. Das Erstellen einer inhaltlich unwahren Rechnung kann gerade in Fällen wie hier unter Betrugsgesichtspunkten von Bedeutung sein. Soweit das Erstellen inhaltlich unrichtiger Schriftstücke vom Tatbestand der Falschbeurkundung nicht erfasst ist, darf daraus nicht auf allgemeine Straflosigkeit 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